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25" w:rsidRDefault="00E43525" w:rsidP="00E4352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Педагогические измерения и экспертиза в сфере интегральной оценки качества общего образования</w:t>
      </w:r>
      <w:r>
        <w:rPr>
          <w:b/>
          <w:color w:val="FF0000"/>
          <w:sz w:val="44"/>
          <w:szCs w:val="44"/>
        </w:rPr>
        <w:t>»</w:t>
      </w:r>
    </w:p>
    <w:p w:rsidR="00E3038F" w:rsidRDefault="00E3038F" w:rsidP="00E435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3525" w:rsidRDefault="00E43525" w:rsidP="00E435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Романенко И.А. – учитель английского языка </w:t>
      </w:r>
    </w:p>
    <w:p w:rsidR="00E43525" w:rsidRDefault="00E43525" w:rsidP="00E435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гимназии №36</w:t>
      </w:r>
    </w:p>
    <w:p w:rsidR="00E43525" w:rsidRPr="00E43525" w:rsidRDefault="00E43525" w:rsidP="00E435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проверки и оценки знаний, умений и навыков является сегодня одной из важнейших проблем организации учебной деятельности на уроках, в частности на уроках английского языка. И это понятно, ведь именно в процессе проверки выявляются достижения школьников и пробелы в их учебной  подготовке, закрепляются, уточняются и систематизируются знания и умения, приобретенные учащимися на предыдущих уроках, а на основе полученной информации корректируется процесс изучения нового материала.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организовать проверку, чтобы она выполняла все возложенные на нее функции? Как правильно определить место и время проверки и оценки знаний на уроке? Какие методы и методические приемы использовать при этом? Как с наименьшими потерями времени проверить и оценить знания, умения и навыки каждого ученика? Как правильно поставить отметку, и в каком случае она не нужна? Эти и многие другие вопросы встают перед учителями.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оценивается?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традиционной системы обучения оценивались главным образом знания, а основным средством проверки являлось их воспроизведение. Остальные компоненты содержания образования – умения, эмоционально-ценностные отношения – большей частью оставались вне поля оценивания. При этом оценивались только результаты освоения отдельных предметов; оценочные задания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(универсального,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характера практически не использовались.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 стандартом система оценки образовательных достижений школьников четко привязывается к планируемым результатам.</w:t>
      </w:r>
    </w:p>
    <w:p w:rsidR="00BD3DDF" w:rsidRPr="00D84C2C" w:rsidRDefault="00BD3DDF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 </w:t>
      </w: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 результатов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диагностируется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372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выявляется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школьника, которая проявляется в эмоционально-ценностных отношениях к себе и окружающему миру. В повседневном образовательном процессе оценка личностных результатов необходима. Учитель не может оставить без внимания и оценки нравственные или, наоборот, безнравственные суждения, поступки школьника. 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(но не отметка) проявляется в словесной характеристики типа «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choice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correct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и.т.п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оценивания ученик становится в позицию нравственного выбора в той или иной ситуации. При этом следует помнить, что такая оценка должна проходить «в 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представляющей угрозу личности, психологической безопасности и эмоциональному статусу учащихся».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результаты, 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некоторых личностных компетенций, содержат предметные знаний и систему формируемых предметных действий.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 </w:t>
      </w: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 знаний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 опорные знания (знания, освоение которых необходим</w:t>
      </w:r>
      <w:r w:rsidR="00C90372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</w:t>
      </w:r>
      <w:r w:rsidR="00C90372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изучения курса.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предметных результатов основную ценность представля</w:t>
      </w:r>
      <w:r w:rsidR="00450681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не собственно знания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</w:t>
      </w: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 оценки являются не столько знания, сколько действия, выполняемые учащимися с предметным содержанием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данном случае (с содержанием курса иностранного языка).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основе многих предметных действий лежат универсальные действия, и прежде всего познавательные: использование знаково-</w:t>
      </w:r>
      <w:proofErr w:type="spellStart"/>
      <w:r w:rsidRPr="00D84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символичеких</w:t>
      </w:r>
      <w:proofErr w:type="spellEnd"/>
      <w:r w:rsidRPr="00D84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средств; моделирование; сравнение, группировка и классификация объектов.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объектом оценки </w:t>
      </w:r>
      <w:proofErr w:type="spellStart"/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служит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регулятивных, коммуникативных и познавательных универсальных действий, таких как 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 сохранять учебную цель, умение осуществлять информационный поиск и др. на уроках можно проверить и такие компетенции, которые трудно (или невозможно) проверить в ходе стандартизированной итоговой проверочной работы. Например, такие умения как, взаимодействие с партнером, стремление учитывать и координировать различные мнения и позиции в сотрудничестве и др.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ФГОС каждый урок должен включать формирование тех или иных УУД. Соответственно, должна осуществляться оценка достижений школьников в этой области. В настоящее время, именно УУД становятся основным объектом оценки как в процессе внутренней, так и итоговой проверки образовательных результатов.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 на уроках английского языка достигаются 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567" w:rsidRPr="00D84C2C" w:rsidRDefault="00715567" w:rsidP="00E30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(умение учиться, контроль и самоконтроль);</w:t>
      </w:r>
    </w:p>
    <w:p w:rsidR="00715567" w:rsidRPr="00D84C2C" w:rsidRDefault="00715567" w:rsidP="00E30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мультимедиаприложений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567" w:rsidRPr="00D84C2C" w:rsidRDefault="00715567" w:rsidP="00E30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текстов разных жанров и обилие заданий на разные типы чтения;</w:t>
      </w:r>
    </w:p>
    <w:p w:rsidR="00715567" w:rsidRPr="00D84C2C" w:rsidRDefault="00715567" w:rsidP="00E30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явлений родного и изучаемого языков с помощью грамматического справочника и упражнений;</w:t>
      </w:r>
    </w:p>
    <w:p w:rsidR="00715567" w:rsidRPr="00D84C2C" w:rsidRDefault="00715567" w:rsidP="00E30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английского языка на основе моделей-опор;</w:t>
      </w:r>
    </w:p>
    <w:p w:rsidR="00715567" w:rsidRPr="00D84C2C" w:rsidRDefault="00715567" w:rsidP="00E30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явлениями окружающего мира, фактами его истории, географии на английском языке;</w:t>
      </w:r>
    </w:p>
    <w:p w:rsidR="00715567" w:rsidRPr="00D84C2C" w:rsidRDefault="00715567" w:rsidP="00E303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работ.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учим различным стратегиям при работе с текстами различной направленности и тематики. Дети получают навык чтения с пониманием основной идеи, поиска нужной информации, детального понимания – и эти же навыки они с успехом могут использовать при чтении любых текстов, в любой области знаний.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учим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аудировать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направляя речевую деятельность детей для осуществления тех же целей – полного, специального или детального понимания. Это обеспечивает успех при любом 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аудитивном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действии.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анализа и синтеза, которые дети получают при работе с текстами и выполнении заданий различной сложности также во многом способствуют формированию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использованию их в любой образовательной деятельности.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 – учить детей рефлексировать, использовать полученные знания, навыки и умения в практических заданиях.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0681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системе оценивания образовательных достижений далеко не всегда принималась во внимание их динамика. В новой системе оценивания </w:t>
      </w: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динамике образовательных достижений учащихся (индивидуальному прогрессу) уделяется большое внимание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индивидуального прогресса или прироста образованности другими словами осуществляется путем сравнения результатов входной и выходной диагностик.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качестве объектов оценивания образовательных достижений школьников выступают компетенции, относящиеся к личностным,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предметным результатам образования, а также динамика образовательных достижений (прогресс).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вопроса соотношения оценки и отметки в процедуре оценивания, то он может решаться следующим образом: оцениваться может любое, особенно успешное действие (предметное,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метапредметное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личностное), а фиксироваться отметкой только демонстрация умения по применению знания (решение задачи).</w:t>
      </w:r>
      <w:r w:rsidR="00365016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5016" w:rsidRPr="00D84C2C" w:rsidRDefault="00365016" w:rsidP="00E3038F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Учителем также разработан лист индивидуальных достижений учащихся, позволяющий проследить динамику достижения образовательных результатов.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2C">
        <w:rPr>
          <w:rFonts w:ascii="Times New Roman" w:hAnsi="Times New Roman" w:cs="Times New Roman"/>
          <w:b/>
          <w:sz w:val="28"/>
          <w:szCs w:val="28"/>
        </w:rPr>
        <w:t>+ ЛИСТ ДОСТИЖЕНИЙ</w:t>
      </w:r>
    </w:p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5CF" w:rsidRPr="00D84C2C" w:rsidRDefault="00CD15CF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Кем оценивается?</w:t>
      </w:r>
    </w:p>
    <w:p w:rsidR="00CD15CF" w:rsidRPr="00D84C2C" w:rsidRDefault="00CD15CF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процедура оценивания была прерогативой учителя. В новых условиях ситуация меняется. В процесс оценивания достигнутых результатов включается и школьник. Более того, обучение школьников оценке собственных результатов, достижений своих товарищей становится одной из целей образования.</w:t>
      </w:r>
    </w:p>
    <w:p w:rsidR="00906807" w:rsidRPr="00D84C2C" w:rsidRDefault="0090680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807" w:rsidRPr="00D84C2C" w:rsidRDefault="0090680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CF" w:rsidRPr="00D84C2C" w:rsidRDefault="00CD15CF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самооценки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636"/>
        <w:gridCol w:w="496"/>
        <w:gridCol w:w="636"/>
        <w:gridCol w:w="1102"/>
      </w:tblGrid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Description</w:t>
            </w:r>
            <w:proofErr w:type="spellEnd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achievement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Poor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excellent</w:t>
            </w:r>
            <w:proofErr w:type="spellEnd"/>
          </w:p>
        </w:tc>
      </w:tr>
      <w:tr w:rsidR="00D84C2C" w:rsidRPr="00E43525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can read and understand the information about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D84C2C" w:rsidRPr="00E43525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can listen and understand the information about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speak</w:t>
            </w:r>
            <w:proofErr w:type="spellEnd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4C2C" w:rsidRPr="00E43525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can ask and answer the questions about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CD15CF" w:rsidRPr="00D84C2C" w:rsidRDefault="00CD15CF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3962"/>
      </w:tblGrid>
      <w:tr w:rsidR="00D84C2C" w:rsidRPr="00D84C2C" w:rsidTr="001F5620">
        <w:tc>
          <w:tcPr>
            <w:tcW w:w="8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 для ученика</w:t>
            </w:r>
          </w:p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УМЕНИЯ САМООЦЕНКИ</w:t>
            </w:r>
          </w:p>
        </w:tc>
      </w:tr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</w:t>
            </w:r>
          </w:p>
        </w:tc>
      </w:tr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сделать?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Удалось ли сделать?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правильно или есть недочеты?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Сделал сам или с чьей-то помощью?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4C2C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отличаем «5», «4» и «3»?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15CF" w:rsidRPr="00D84C2C" w:rsidTr="001F5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отметку ты поставишь себе?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15567" w:rsidRPr="00D84C2C" w:rsidRDefault="00715567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образовательные  </w:t>
      </w:r>
      <w:proofErr w:type="spellStart"/>
      <w:r w:rsidRPr="00D8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8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по английскому языку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умений общаться, вести дискуссию, эффективно сотрудничать, используя различные виды речевой деятельности, приобретение знаний о строе языка, его системе, особенностях, сходстве и различии с родным языком, удовлетворение личных познавательных интересов). 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данных результатов привлекаю детей к ведению урока посредством таких заданий как: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подготовить диалог по теме как образец;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найти определённый материал в Интернете;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подготовить контрольные вопросы по теме;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составить коллаж по теме;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провести анкетирование по заданной теме;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составить рассказ-загадку;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дать литературный перевод стихотворения или прозы;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нарисовать рисунок к одному из текстов и предложить ребятам определить, к какому тексту     нарисован   рисунок;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дополнить словарный минимум по теме, используя словари.</w:t>
      </w:r>
    </w:p>
    <w:p w:rsidR="00906807" w:rsidRPr="00D84C2C" w:rsidRDefault="00906807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807" w:rsidRPr="00D84C2C" w:rsidRDefault="00906807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(умение осуществлять межкультурное общение в говорении, чтении,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письме; осознание строя изучаемого языка, способности к имитации, к выявлению языковых закономерностей, к выявлению главного, к логическому изложению). Например,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 отрывки из текста и соедини их в логическом порядке;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озаглавь прочитанный текст, аргументируй свой вариант;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 тексты и укажи их различия;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 кроссворд с изучаемыми словами;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отметь самые сложные слова, в которых ребята делают ошибки;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 задание себе сам и т. д.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 рациональных навыков овладения ИЯ, способность к самообучению, привитие навыков самостоятельной работы по овладению языком, развитие языковых и речемыслительных способностей, адекватному восприятию использования грамматических явлений в речи, развитие функций, связанных с речевой деятельностью: мышлени</w:t>
      </w:r>
      <w:r w:rsidR="00C90372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C90372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</w:t>
      </w:r>
      <w:r w:rsidR="00C90372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="00C90372"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достижения указанных результатов предлагаю такие задания: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 начало рассказа и придумай продолжение;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 часть картины и предположи, что изображено на полотне;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подготовь презентацию твоих любимых фильмов;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придумать загадку;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чайнворд;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кроссворд, ребус;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сочинений, конкурсы переводчиков;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тест по заданной теме.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осуществление образовательных,  личностных  и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 на уроках английского языка позволяет  достичь главной цели образования - подготовить личность к деятельности, основанной на знаниях и опыте, которые приобретены благодаря иноязычному обучению, ориентированной на самостоятельное участие в учебно-познавательном процессе, а также направленной на ее успешное включение в трудовую деятельность.</w:t>
      </w: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CF" w:rsidRPr="00D84C2C" w:rsidRDefault="00CD15CF" w:rsidP="00E3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хотела бы подробно остановиться на таком виде работы как итоговый групповой проект.</w:t>
      </w:r>
    </w:p>
    <w:p w:rsidR="00CD15CF" w:rsidRPr="00D84C2C" w:rsidRDefault="00CD15CF" w:rsidP="00E3038F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15CF" w:rsidRPr="00D84C2C" w:rsidRDefault="00CD15CF" w:rsidP="00E3038F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15CF" w:rsidRPr="00D84C2C" w:rsidRDefault="00CD15CF" w:rsidP="00E3038F">
      <w:pPr>
        <w:pStyle w:val="c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15CF" w:rsidRPr="00D84C2C" w:rsidRDefault="00906807" w:rsidP="00E3038F">
      <w:pPr>
        <w:pStyle w:val="c4"/>
        <w:tabs>
          <w:tab w:val="left" w:pos="609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4C2C">
        <w:rPr>
          <w:sz w:val="28"/>
          <w:szCs w:val="28"/>
        </w:rPr>
        <w:tab/>
      </w:r>
    </w:p>
    <w:p w:rsidR="00906807" w:rsidRPr="00D84C2C" w:rsidRDefault="00906807" w:rsidP="00E3038F">
      <w:pPr>
        <w:pStyle w:val="c4"/>
        <w:tabs>
          <w:tab w:val="left" w:pos="609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15CF" w:rsidRPr="00D84C2C" w:rsidRDefault="00CD15CF" w:rsidP="00E3038F">
      <w:pPr>
        <w:pStyle w:val="c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15CF" w:rsidRPr="00D84C2C" w:rsidRDefault="00CD15CF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807" w:rsidRPr="00D84C2C" w:rsidRDefault="00CD15CF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 xml:space="preserve">Групповой  итоговый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(учебно-познавательную, социальную, художественно-творческую,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</w:rPr>
        <w:t>итд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06807"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6807" w:rsidRPr="00D84C2C" w:rsidRDefault="0090680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Проектная деятельность 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решить следующие задачи:</w:t>
      </w:r>
    </w:p>
    <w:p w:rsidR="00906807" w:rsidRPr="00D84C2C" w:rsidRDefault="00906807" w:rsidP="00E303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навыками поисковой деятельности, умением работать с литературой, умением поиска необходимой информации в сети Интернет;</w:t>
      </w:r>
    </w:p>
    <w:p w:rsidR="00906807" w:rsidRPr="00D84C2C" w:rsidRDefault="00906807" w:rsidP="00E303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нужной информации, ее обобщение;</w:t>
      </w:r>
    </w:p>
    <w:p w:rsidR="00906807" w:rsidRPr="00D84C2C" w:rsidRDefault="00906807" w:rsidP="00E303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участников проектной работы умения представлять свои проекты в виде презентации, готовить свое выступление;</w:t>
      </w:r>
    </w:p>
    <w:p w:rsidR="00906807" w:rsidRPr="00D84C2C" w:rsidRDefault="00906807" w:rsidP="00E303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реагировать на вопросы, вступать в дискуссию;</w:t>
      </w:r>
    </w:p>
    <w:p w:rsidR="00906807" w:rsidRPr="00D84C2C" w:rsidRDefault="00906807" w:rsidP="00E303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самоанализу и самооценке;</w:t>
      </w:r>
    </w:p>
    <w:p w:rsidR="00906807" w:rsidRPr="00D84C2C" w:rsidRDefault="00906807" w:rsidP="00E303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906807" w:rsidRPr="00D84C2C" w:rsidRDefault="00906807" w:rsidP="00E303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изучаемому языку.</w:t>
      </w:r>
    </w:p>
    <w:p w:rsidR="00906807" w:rsidRPr="00D84C2C" w:rsidRDefault="00906807" w:rsidP="00E3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5CF" w:rsidRPr="00D84C2C" w:rsidRDefault="00CD15CF" w:rsidP="00E303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807" w:rsidRPr="00D84C2C" w:rsidRDefault="00906807" w:rsidP="00E303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>В соответствии с целями подготовки проекта образовательным учреждением разрабатываются план, программа подготовки проекта, которые, как минимум, должны включать требования по следующим рубрикам:</w:t>
      </w:r>
    </w:p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деятельности;</w:t>
      </w:r>
    </w:p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направленность проекта;</w:t>
      </w:r>
    </w:p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проекта;</w:t>
      </w:r>
    </w:p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проектной деятельности.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проектной деятельности должны включать положения о том, что обучающиеся сами выбирают как тему проекта, так и руководителя проекта; тема проекта должна быть утверждена (уровень утверждения определяет образовательное учреждение; план реализации проекта разрабатывается учащимся совместно с руководителем проекта). Образовательное учреждение может предъявить и иные требования к организации проектной деятельности.</w:t>
      </w:r>
    </w:p>
    <w:p w:rsidR="00CD15CF" w:rsidRPr="00D84C2C" w:rsidRDefault="00CD15CF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проектной работы разрабатываются с учётом целей и задач проектной деятельности на данном этапе образования. 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b/>
          <w:sz w:val="28"/>
          <w:szCs w:val="28"/>
        </w:rPr>
        <w:t>(показывать таблицу)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>Проект целесообразно оценивать по следующим критериям:</w:t>
      </w:r>
    </w:p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учебных действий.</w:t>
      </w:r>
      <w:proofErr w:type="gramEnd"/>
    </w:p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знаний и способов действий, 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 действий, 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действий, 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 xml:space="preserve">При интегральном описании результатов выполнения проекта вывод об уровне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D84C2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84C2C">
        <w:rPr>
          <w:rFonts w:ascii="Times New Roman" w:eastAsia="Times New Roman" w:hAnsi="Times New Roman" w:cs="Times New Roman"/>
          <w:sz w:val="28"/>
          <w:szCs w:val="28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D84C2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84C2C">
        <w:rPr>
          <w:rFonts w:ascii="Times New Roman" w:eastAsia="Times New Roman" w:hAnsi="Times New Roman" w:cs="Times New Roman"/>
          <w:sz w:val="28"/>
          <w:szCs w:val="28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sz w:val="28"/>
          <w:szCs w:val="28"/>
        </w:rPr>
        <w:t>(Ниже приводится примерное содержательное описание каждого из вышеназванных критериев.)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C2C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Критерии оценки </w:t>
      </w:r>
      <w:proofErr w:type="spellStart"/>
      <w:r w:rsidRPr="00D84C2C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84C2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навыков проектной деятельност</w:t>
      </w:r>
      <w:r w:rsidR="00D32185" w:rsidRPr="00D84C2C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4065"/>
        <w:gridCol w:w="4029"/>
      </w:tblGrid>
      <w:tr w:rsidR="00D84C2C" w:rsidRPr="00D84C2C" w:rsidTr="001F5620"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Уровни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навыков проектной деятельности</w:t>
            </w:r>
          </w:p>
        </w:tc>
      </w:tr>
      <w:tr w:rsidR="00D84C2C" w:rsidRPr="00D84C2C" w:rsidTr="001F5620"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CF" w:rsidRPr="00D84C2C" w:rsidRDefault="00CD15CF" w:rsidP="00E303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D84C2C" w:rsidRPr="00D84C2C" w:rsidTr="001F5620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Самосто-ятельное</w:t>
            </w:r>
            <w:proofErr w:type="spellEnd"/>
            <w:proofErr w:type="gramEnd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приобре-тение</w:t>
            </w:r>
            <w:proofErr w:type="spellEnd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знаний и решение проблем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приобретать</w:t>
            </w:r>
            <w:proofErr w:type="gramEnd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D84C2C" w:rsidRPr="00D84C2C" w:rsidTr="001F5620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D84C2C" w:rsidRPr="00D84C2C" w:rsidTr="001F5620">
        <w:trPr>
          <w:trHeight w:val="275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Регуля-тивные</w:t>
            </w:r>
            <w:proofErr w:type="spellEnd"/>
            <w:proofErr w:type="gramEnd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работы.</w:t>
            </w:r>
          </w:p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CD15CF" w:rsidRPr="00D84C2C" w:rsidRDefault="00CD15CF" w:rsidP="00E30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коррекция осуществлялись самостоятельно.</w:t>
            </w:r>
          </w:p>
        </w:tc>
      </w:tr>
      <w:tr w:rsidR="00D84C2C" w:rsidRPr="00D84C2C" w:rsidTr="001F5620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Комму-</w:t>
            </w:r>
            <w:proofErr w:type="spellStart"/>
            <w:r w:rsidRPr="00D84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никация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F" w:rsidRPr="00D84C2C" w:rsidRDefault="00CD15CF" w:rsidP="00E3038F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ясно определена и пояснена. Текст/сообщение хорошо </w:t>
            </w:r>
            <w:proofErr w:type="gramStart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структурированы</w:t>
            </w:r>
            <w:proofErr w:type="gramEnd"/>
            <w:r w:rsidRPr="00D84C2C">
              <w:rPr>
                <w:rFonts w:ascii="Times New Roman" w:eastAsia="Times New Roman" w:hAnsi="Times New Roman" w:cs="Times New Roman"/>
                <w:sz w:val="28"/>
                <w:szCs w:val="28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</w:tr>
    </w:tbl>
    <w:p w:rsidR="00CD15CF" w:rsidRPr="00D84C2C" w:rsidRDefault="00CD15CF" w:rsidP="00E303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5CF" w:rsidRPr="00D84C2C" w:rsidRDefault="00CD15CF" w:rsidP="00E3038F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15CF" w:rsidRPr="00D84C2C" w:rsidRDefault="00CD15CF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pStyle w:val="c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4C2C">
        <w:rPr>
          <w:sz w:val="28"/>
          <w:szCs w:val="28"/>
        </w:rPr>
        <w:t>А сейчас я расскажу вам</w:t>
      </w:r>
      <w:proofErr w:type="gramStart"/>
      <w:r w:rsidRPr="00D84C2C">
        <w:rPr>
          <w:sz w:val="28"/>
          <w:szCs w:val="28"/>
        </w:rPr>
        <w:t xml:space="preserve"> ,</w:t>
      </w:r>
      <w:proofErr w:type="gramEnd"/>
      <w:r w:rsidRPr="00D84C2C">
        <w:rPr>
          <w:sz w:val="28"/>
          <w:szCs w:val="28"/>
        </w:rPr>
        <w:t xml:space="preserve"> как на практике проходит работа по созданию группового проекта. В прошлом учебном году учащихся 9 класса очень заинтересовала тема особенностей Интернет коммуникации и различная форма представления информации в электронной переписке. Дети самостоятельно выбрали тему проекта о несоблюдении норм английского языка в Интернет коммуникации. Таким образом, мы определили цель проекта, составили план и приступили к его реализации (регулятивные УУД). Затем дети начали собирать информацию: материалом послужили фрагменты текстовых сообщений, представленных на чатах и форумах англоязычных интернет сайтов.  Параллельно с практической информацией изучалась и теоретическая сторона проблемы.  </w:t>
      </w:r>
      <w:proofErr w:type="gramStart"/>
      <w:r w:rsidRPr="00D84C2C">
        <w:rPr>
          <w:sz w:val="28"/>
          <w:szCs w:val="28"/>
        </w:rPr>
        <w:t>Таким образом, мы рассмотрели классификацию способов общения в интернете; изучили основные жанры интернет коммуникации; рассмотрели понятие языковой нормы и нормы языка глобальной сети; выявили основные случаи несоблюдения норм английского языка в электронной переписке; проанализировали примеры несоблюдения графических, грамматических и пунктуационных норм английского языка, а также использование сокращений и акронимов в электронной переписке (познавательные УУД).</w:t>
      </w:r>
      <w:proofErr w:type="gramEnd"/>
      <w:r w:rsidRPr="00D84C2C">
        <w:rPr>
          <w:sz w:val="28"/>
          <w:szCs w:val="28"/>
        </w:rPr>
        <w:t xml:space="preserve">   Во время работы над проектом дети учились ясно, доступно, логично высказывать свои мысли, учились аргументировано отстаивать своё мнение (коммуникативные УУД).</w:t>
      </w:r>
    </w:p>
    <w:p w:rsidR="00886123" w:rsidRPr="00D84C2C" w:rsidRDefault="00886123" w:rsidP="00E3038F">
      <w:pPr>
        <w:pStyle w:val="c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84C2C">
        <w:rPr>
          <w:sz w:val="28"/>
          <w:szCs w:val="28"/>
        </w:rPr>
        <w:t xml:space="preserve">В процессе выполнения проекта дети разделились на </w:t>
      </w:r>
      <w:proofErr w:type="spellStart"/>
      <w:r w:rsidRPr="00D84C2C">
        <w:rPr>
          <w:sz w:val="28"/>
          <w:szCs w:val="28"/>
        </w:rPr>
        <w:t>микрогруппы</w:t>
      </w:r>
      <w:proofErr w:type="spellEnd"/>
      <w:r w:rsidRPr="00D84C2C">
        <w:rPr>
          <w:sz w:val="28"/>
          <w:szCs w:val="28"/>
        </w:rPr>
        <w:t xml:space="preserve">. </w:t>
      </w:r>
      <w:proofErr w:type="gramStart"/>
      <w:r w:rsidRPr="00D84C2C">
        <w:rPr>
          <w:sz w:val="28"/>
          <w:szCs w:val="28"/>
        </w:rPr>
        <w:t>У каждой группы был свой объект исследования и в результате этого, был собран богатый практический материал. 1 группа собирала примеры употребления смайликов; 2 – создали таблицу смайликов, состоящих из скобок, букв и знаков препинания; 3  - создала сравнительную употребления смайликов-картинок и смайликов, состоящих из скобок, букв и знаков препинания; 4 – собрала примеры графических, грамматических и пунктуационных отклонений от языковой нормы;</w:t>
      </w:r>
      <w:proofErr w:type="gramEnd"/>
      <w:r w:rsidRPr="00D84C2C">
        <w:rPr>
          <w:sz w:val="28"/>
          <w:szCs w:val="28"/>
        </w:rPr>
        <w:t xml:space="preserve"> 5 – создала таблицу акронимов и сокращений в интернет коммуникации, расшифровали их и перевели на русский язык.  Каждая </w:t>
      </w:r>
      <w:proofErr w:type="spellStart"/>
      <w:r w:rsidRPr="00D84C2C">
        <w:rPr>
          <w:sz w:val="28"/>
          <w:szCs w:val="28"/>
        </w:rPr>
        <w:t>микрогруппа</w:t>
      </w:r>
      <w:proofErr w:type="spellEnd"/>
      <w:r w:rsidRPr="00D84C2C">
        <w:rPr>
          <w:sz w:val="28"/>
          <w:szCs w:val="28"/>
        </w:rPr>
        <w:t xml:space="preserve"> публично представила результаты своей исследовательской деятельности и продемонстрировала повышенный уровень </w:t>
      </w:r>
      <w:proofErr w:type="spellStart"/>
      <w:r w:rsidRPr="00D84C2C">
        <w:rPr>
          <w:sz w:val="28"/>
          <w:szCs w:val="28"/>
        </w:rPr>
        <w:t>сформированности</w:t>
      </w:r>
      <w:proofErr w:type="spellEnd"/>
      <w:r w:rsidRPr="00D84C2C">
        <w:rPr>
          <w:sz w:val="28"/>
          <w:szCs w:val="28"/>
        </w:rPr>
        <w:t xml:space="preserve"> навыков проектной деятельности. Дети продемонстрировали свободное владение предметом своей исследовательской работы. Они четко и ясно заявляли  тему, все сообщения были хорошо структурированы. Все свои мысли они излагали логично, последовательно, аргументированно. Уровни </w:t>
      </w:r>
      <w:proofErr w:type="spellStart"/>
      <w:r w:rsidRPr="00D84C2C">
        <w:rPr>
          <w:sz w:val="28"/>
          <w:szCs w:val="28"/>
        </w:rPr>
        <w:t>сформированности</w:t>
      </w:r>
      <w:proofErr w:type="spellEnd"/>
      <w:r w:rsidRPr="00D84C2C">
        <w:rPr>
          <w:sz w:val="28"/>
          <w:szCs w:val="28"/>
        </w:rPr>
        <w:t xml:space="preserve"> проектной деятельности были занесены в оценочную таблицу, ее вы видите сейчас на экране. </w:t>
      </w:r>
      <w:r w:rsidR="00906807" w:rsidRPr="00D84C2C">
        <w:rPr>
          <w:sz w:val="28"/>
          <w:szCs w:val="28"/>
        </w:rPr>
        <w:t xml:space="preserve">Шкала оценивания пятибалльная. Общая оценка по критерию выставляется целым числом (применяется математическое округление). Повышенный уровень за выполнение проекта выставляется только при трёх общих оценках «4» или «5». </w:t>
      </w:r>
      <w:r w:rsidRPr="00D84C2C">
        <w:rPr>
          <w:sz w:val="28"/>
          <w:szCs w:val="28"/>
        </w:rPr>
        <w:t>По результатам публичной защиты своих мини-проектов, было решено собрать весь материал исследования в один крупный научно-исследовательский проект. С этим проектом ребята выступили на краевой научно-практической конференции школьников в секции «Языкознание. Иностранные языки» и получили наивысшую оценку своей работы – а именно, Диплом победителя.</w:t>
      </w:r>
    </w:p>
    <w:p w:rsidR="00886123" w:rsidRPr="00D84C2C" w:rsidRDefault="00886123" w:rsidP="00E3038F">
      <w:pPr>
        <w:pStyle w:val="c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123" w:rsidRPr="00D84C2C" w:rsidRDefault="00886123" w:rsidP="00E3038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84C2C">
        <w:rPr>
          <w:b/>
          <w:bCs/>
          <w:color w:val="auto"/>
          <w:sz w:val="28"/>
          <w:szCs w:val="28"/>
        </w:rPr>
        <w:t xml:space="preserve">ЛИСТ ОЦЕНИВАНИЯ ПРОЕКТА </w:t>
      </w:r>
    </w:p>
    <w:p w:rsidR="00886123" w:rsidRPr="00D84C2C" w:rsidRDefault="00886123" w:rsidP="00E3038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84C2C">
        <w:rPr>
          <w:b/>
          <w:bCs/>
          <w:color w:val="auto"/>
          <w:sz w:val="28"/>
          <w:szCs w:val="28"/>
        </w:rPr>
        <w:t xml:space="preserve">Школа, класс: </w:t>
      </w:r>
      <w:r w:rsidRPr="00D84C2C">
        <w:rPr>
          <w:color w:val="auto"/>
          <w:sz w:val="28"/>
          <w:szCs w:val="28"/>
        </w:rPr>
        <w:t xml:space="preserve">МАОУ гимназия № 36 ______ класс </w:t>
      </w:r>
    </w:p>
    <w:p w:rsidR="00886123" w:rsidRPr="00D84C2C" w:rsidRDefault="00886123" w:rsidP="00E3038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84C2C">
        <w:rPr>
          <w:b/>
          <w:bCs/>
          <w:color w:val="auto"/>
          <w:sz w:val="28"/>
          <w:szCs w:val="28"/>
        </w:rPr>
        <w:t xml:space="preserve">Ф.И.О. ученика:_________________________________________ </w:t>
      </w:r>
    </w:p>
    <w:p w:rsidR="00886123" w:rsidRPr="00D84C2C" w:rsidRDefault="00886123" w:rsidP="00E3038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84C2C">
        <w:rPr>
          <w:b/>
          <w:bCs/>
          <w:color w:val="auto"/>
          <w:sz w:val="28"/>
          <w:szCs w:val="28"/>
        </w:rPr>
        <w:t xml:space="preserve">Предмет:________________________________________________ </w:t>
      </w: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C2C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проекта:________________________________________________ </w:t>
      </w: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C2C">
        <w:rPr>
          <w:rFonts w:ascii="Times New Roman" w:hAnsi="Times New Roman" w:cs="Times New Roman"/>
          <w:b/>
          <w:bCs/>
          <w:sz w:val="28"/>
          <w:szCs w:val="28"/>
        </w:rPr>
        <w:t>Экспертное оценивание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4639"/>
        <w:gridCol w:w="1842"/>
      </w:tblGrid>
      <w:tr w:rsidR="00D84C2C" w:rsidRPr="00D84C2C" w:rsidTr="001F5620">
        <w:trPr>
          <w:trHeight w:val="98"/>
        </w:trPr>
        <w:tc>
          <w:tcPr>
            <w:tcW w:w="2699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</w:t>
            </w:r>
          </w:p>
        </w:tc>
        <w:tc>
          <w:tcPr>
            <w:tcW w:w="4639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 w:val="restart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Самостоятельное приобретение знаний и решение проблем </w:t>
            </w:r>
          </w:p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(оценка </w:t>
            </w:r>
            <w:proofErr w:type="spellStart"/>
            <w:r w:rsidRPr="00D84C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сформированности</w:t>
            </w:r>
            <w:proofErr w:type="spellEnd"/>
            <w:r w:rsidRPr="00D84C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познавательных учебных действий) </w:t>
            </w: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умение </w:t>
            </w:r>
            <w:proofErr w:type="gramStart"/>
            <w:r w:rsidRPr="00D84C2C">
              <w:rPr>
                <w:color w:val="auto"/>
                <w:sz w:val="28"/>
                <w:szCs w:val="28"/>
              </w:rPr>
              <w:t>поставить проблему</w:t>
            </w:r>
            <w:proofErr w:type="gramEnd"/>
            <w:r w:rsidRPr="00D84C2C">
              <w:rPr>
                <w:color w:val="auto"/>
                <w:sz w:val="28"/>
                <w:szCs w:val="28"/>
              </w:rPr>
              <w:t xml:space="preserve"> и выбрать адекватные способы её решения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поиск и обработка информации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формулировка выводов и/или обоснование и реализация/апробация принятого решения; владение логическими операциями, навыками критического мышления.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обоснование и создание модели, прогноза, макета, объекта, творческого решения и т.п.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9180" w:type="dxa"/>
            <w:gridSpan w:val="3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>Общая оценка по критерию</w:t>
            </w: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Знание предмета </w:t>
            </w:r>
          </w:p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>(</w:t>
            </w:r>
            <w:proofErr w:type="spellStart"/>
            <w:r w:rsidRPr="00D84C2C">
              <w:rPr>
                <w:i/>
                <w:iCs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D84C2C">
              <w:rPr>
                <w:i/>
                <w:iCs/>
                <w:color w:val="auto"/>
                <w:sz w:val="28"/>
                <w:szCs w:val="28"/>
              </w:rPr>
              <w:t xml:space="preserve"> предметных знаний и способов действий) </w:t>
            </w: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умение раскрыть содержание работы, грамотно и обоснованно в соответствии с рассматриваемой проблемой/темой использовать имеющиеся знания (в </w:t>
            </w:r>
            <w:proofErr w:type="spellStart"/>
            <w:r w:rsidRPr="00D84C2C">
              <w:rPr>
                <w:color w:val="auto"/>
                <w:sz w:val="28"/>
                <w:szCs w:val="28"/>
              </w:rPr>
              <w:t>т.ч</w:t>
            </w:r>
            <w:proofErr w:type="spellEnd"/>
            <w:r w:rsidRPr="00D84C2C">
              <w:rPr>
                <w:color w:val="auto"/>
                <w:sz w:val="28"/>
                <w:szCs w:val="28"/>
              </w:rPr>
              <w:t xml:space="preserve">. владение научной терминологией) и способы действий.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 w:val="restart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D84C2C">
              <w:rPr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D84C2C">
              <w:rPr>
                <w:color w:val="auto"/>
                <w:sz w:val="28"/>
                <w:szCs w:val="28"/>
              </w:rPr>
              <w:t xml:space="preserve"> регулятивных действий </w:t>
            </w:r>
          </w:p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умение самостоятельно определять тему, планировать этапы работы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умение управлять своей познавательной деятельностью во времени (проявление самооценки, коррекции и самоконтроля)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умение использовать ресурсные возможности для достижения целей, осуществлять выбор конструктивных стратегий в трудных ситуациях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9180" w:type="dxa"/>
            <w:gridSpan w:val="3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>Общая оценка по критерию</w:t>
            </w: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 w:val="restart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Коммуникация </w:t>
            </w:r>
          </w:p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Навыки оформления проектной работы и пояснительной записки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Структурирование текста/ сообщения, преобразование информации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Умение представить свою работу, выразить свои мысли и выводы.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Владение ПК, подготовка презентации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Умение ответить на вопросы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Оригинальность работы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2699" w:type="dxa"/>
            <w:vMerge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>Навыки грамотного использования сети Интернет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7338" w:type="dxa"/>
            <w:gridSpan w:val="2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Общая оценка по критерию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7338" w:type="dxa"/>
            <w:gridSpan w:val="2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color w:val="auto"/>
                <w:sz w:val="28"/>
                <w:szCs w:val="28"/>
              </w:rPr>
              <w:t xml:space="preserve">Итоговая оценка за проект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4C2C" w:rsidRPr="00D84C2C" w:rsidTr="001F5620">
        <w:trPr>
          <w:trHeight w:val="98"/>
        </w:trPr>
        <w:tc>
          <w:tcPr>
            <w:tcW w:w="7338" w:type="dxa"/>
            <w:gridSpan w:val="2"/>
          </w:tcPr>
          <w:p w:rsidR="00886123" w:rsidRPr="00D84C2C" w:rsidRDefault="00886123" w:rsidP="00E3038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84C2C">
              <w:rPr>
                <w:b/>
                <w:bCs/>
                <w:color w:val="auto"/>
                <w:sz w:val="28"/>
                <w:szCs w:val="28"/>
              </w:rPr>
              <w:t xml:space="preserve">Уровень выполнения проекта (базовый, повышенный) </w:t>
            </w:r>
          </w:p>
        </w:tc>
        <w:tc>
          <w:tcPr>
            <w:tcW w:w="1842" w:type="dxa"/>
          </w:tcPr>
          <w:p w:rsidR="00886123" w:rsidRPr="00D84C2C" w:rsidRDefault="00886123" w:rsidP="00E303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6123" w:rsidRPr="00D84C2C" w:rsidRDefault="00886123" w:rsidP="00E303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C2C">
        <w:rPr>
          <w:rFonts w:ascii="Times New Roman" w:hAnsi="Times New Roman" w:cs="Times New Roman"/>
          <w:sz w:val="28"/>
          <w:szCs w:val="28"/>
        </w:rPr>
        <w:t xml:space="preserve">Шкала оценивания пятибалльная. Общая оценка по критерию выставляется целым числом (применяется математическое округление) </w:t>
      </w:r>
    </w:p>
    <w:p w:rsidR="00886123" w:rsidRPr="00D84C2C" w:rsidRDefault="00886123" w:rsidP="00E30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C2C">
        <w:rPr>
          <w:rFonts w:ascii="Times New Roman" w:hAnsi="Times New Roman" w:cs="Times New Roman"/>
          <w:sz w:val="28"/>
          <w:szCs w:val="28"/>
        </w:rPr>
        <w:t>Повышенный уровень за выполнение проекта выставляется только при трёх общих оценках «4» или «5»</w:t>
      </w:r>
      <w:r w:rsidR="00D84C2C">
        <w:rPr>
          <w:rFonts w:ascii="Times New Roman" w:hAnsi="Times New Roman" w:cs="Times New Roman"/>
          <w:sz w:val="28"/>
          <w:szCs w:val="28"/>
        </w:rPr>
        <w:t>.</w:t>
      </w:r>
    </w:p>
    <w:sectPr w:rsidR="00886123" w:rsidRPr="00D84C2C" w:rsidSect="00E303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73"/>
    <w:multiLevelType w:val="multilevel"/>
    <w:tmpl w:val="492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A6B1A"/>
    <w:multiLevelType w:val="multilevel"/>
    <w:tmpl w:val="492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0533F"/>
    <w:multiLevelType w:val="multilevel"/>
    <w:tmpl w:val="D78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16FAA"/>
    <w:multiLevelType w:val="multilevel"/>
    <w:tmpl w:val="492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F"/>
    <w:rsid w:val="0012224C"/>
    <w:rsid w:val="0034673F"/>
    <w:rsid w:val="00365016"/>
    <w:rsid w:val="00450681"/>
    <w:rsid w:val="00715567"/>
    <w:rsid w:val="007C32A2"/>
    <w:rsid w:val="00886123"/>
    <w:rsid w:val="00906807"/>
    <w:rsid w:val="00BD3DDF"/>
    <w:rsid w:val="00C90372"/>
    <w:rsid w:val="00CD15CF"/>
    <w:rsid w:val="00D32185"/>
    <w:rsid w:val="00D84C2C"/>
    <w:rsid w:val="00E3038F"/>
    <w:rsid w:val="00E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6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6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TRXYE</dc:creator>
  <cp:lastModifiedBy>test2</cp:lastModifiedBy>
  <cp:revision>7</cp:revision>
  <dcterms:created xsi:type="dcterms:W3CDTF">2016-12-04T22:43:00Z</dcterms:created>
  <dcterms:modified xsi:type="dcterms:W3CDTF">2018-04-25T06:06:00Z</dcterms:modified>
</cp:coreProperties>
</file>